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A SCUOLA DI OPENCOESIONE – EDIZIONE 20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23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u w:val="single"/>
          <w:rtl w:val="0"/>
        </w:rPr>
        <w:t xml:space="preserve">VERBALE COMMISSIONE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before="18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COMPOSIZIONE DELLA COMMISSIONE DI VALUTAZIONE</w:t>
      </w:r>
    </w:p>
    <w:p w:rsidR="00000000" w:rsidDel="00000000" w:rsidP="00000000" w:rsidRDefault="00000000" w:rsidRPr="00000000" w14:paraId="00000009">
      <w:pPr>
        <w:spacing w:after="180" w:before="18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80" w:before="18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FASE 1 (18 marzo - 18 aprile 2024)</w:t>
      </w:r>
    </w:p>
    <w:p w:rsidR="00000000" w:rsidDel="00000000" w:rsidP="00000000" w:rsidRDefault="00000000" w:rsidRPr="00000000" w14:paraId="0000000B">
      <w:pPr>
        <w:spacing w:after="180" w:before="18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Esperti/e che operano nell’ambito dell’iniziativa OpenCoesione con competenze di data e policy analysis, comunicazione e data journalism:</w:t>
      </w:r>
    </w:p>
    <w:p w:rsidR="00000000" w:rsidDel="00000000" w:rsidP="00000000" w:rsidRDefault="00000000" w:rsidRPr="00000000" w14:paraId="0000000C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Mario DI SERIO</w:t>
      </w:r>
    </w:p>
    <w:p w:rsidR="00000000" w:rsidDel="00000000" w:rsidP="00000000" w:rsidRDefault="00000000" w:rsidRPr="00000000" w14:paraId="0000000D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Andrea FACCINI</w:t>
      </w:r>
    </w:p>
    <w:p w:rsidR="00000000" w:rsidDel="00000000" w:rsidP="00000000" w:rsidRDefault="00000000" w:rsidRPr="00000000" w14:paraId="0000000E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Saverio GAETA</w:t>
      </w:r>
    </w:p>
    <w:p w:rsidR="00000000" w:rsidDel="00000000" w:rsidP="00000000" w:rsidRDefault="00000000" w:rsidRPr="00000000" w14:paraId="0000000F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Luca GIANOTTI</w:t>
      </w:r>
    </w:p>
    <w:p w:rsidR="00000000" w:rsidDel="00000000" w:rsidP="00000000" w:rsidRDefault="00000000" w:rsidRPr="00000000" w14:paraId="00000010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Tea IVANISEVIC</w:t>
      </w:r>
    </w:p>
    <w:p w:rsidR="00000000" w:rsidDel="00000000" w:rsidP="00000000" w:rsidRDefault="00000000" w:rsidRPr="00000000" w14:paraId="00000011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Luca MARTINELLI</w:t>
      </w:r>
    </w:p>
    <w:p w:rsidR="00000000" w:rsidDel="00000000" w:rsidP="00000000" w:rsidRDefault="00000000" w:rsidRPr="00000000" w14:paraId="00000012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Raffaele PACIELLO</w:t>
      </w:r>
    </w:p>
    <w:p w:rsidR="00000000" w:rsidDel="00000000" w:rsidP="00000000" w:rsidRDefault="00000000" w:rsidRPr="00000000" w14:paraId="00000013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Maria Flora SALVATORI</w:t>
      </w:r>
    </w:p>
    <w:p w:rsidR="00000000" w:rsidDel="00000000" w:rsidP="00000000" w:rsidRDefault="00000000" w:rsidRPr="00000000" w14:paraId="00000014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FASE 2 (24 aprile - 7 maggio 2024)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Patrizia COLLESI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oppure, in sostituzione,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Maria Serena RODINO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Istat - Direzione centrale per la Comunicazione, informazione e servizi ai cittadini e agli utenti - Dipartimento per lo sviluppo di metodi e tecnologie per la produzione e diffusione dell'informazione statistica;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Simona DE LUCA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Dipartimento per le politiche di coesione e per il sud – Presidenza del Consiglio dei Ministri;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Alessandro MAIORANA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oppure, in sostituzione,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Francesca MORANDI,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Ministero dell’Istruzione e del Merito - Direzione Generale per interventi in materia di edilizia scolastica, per la gestione dei fondi strutturali per l'istruzione e per l'innovazione digitale;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Ritalba MAZZARA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oppure, in sostituzione,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Simona ZEPPA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Rappresentanza in Italia della Commissione europea - Team Comunicazione;</w:t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Raissa TEODORI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oppure, in sostituzione,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Michela FONTE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Senato della Repubblica - Ufficio Comunicazione istituzionale.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80" w:before="18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 LAVORI DELLA COMMISSIONE DI VALUTAZIONE</w:t>
      </w:r>
    </w:p>
    <w:p w:rsidR="00000000" w:rsidDel="00000000" w:rsidP="00000000" w:rsidRDefault="00000000" w:rsidRPr="00000000" w14:paraId="00000029">
      <w:pPr>
        <w:widowControl w:val="1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Sessione plenaria FASE 1 (18 marzo 2024)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0" w:hanging="2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Riunione di avvio dei lavori con la partecipazione dei membri della Commissione di valutazione per l’edizione 2023-2024 di ASOC coinvolti nella prima fase del processo. Viene presentata la sezione del sito ascuoladiopencoesione.it predisposta per la valutazione.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Vengono valutati i 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0 team (classi o gruppi di classi) che hanno consegnato gli output di Lezione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 e Lezione 3 previsti dal percorso didattico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61 team dell’indirizzo “ASOC superiori in lingua italiana”, 26 team dell’indirizzo “ASOC Scuole medie”, 23 team dell’indirizzo “ASOC superiori in lingua inglese”. 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Commissione valuta gli output prodotti dai team per i Report 2 e 3 attraverso i seguenti 4 criteri di valutazione</w:t>
      </w:r>
      <w:r w:rsidDel="00000000" w:rsidR="00000000" w:rsidRPr="00000000">
        <w:rPr>
          <w:rFonts w:ascii="Trebuchet MS" w:cs="Trebuchet MS" w:eastAsia="Trebuchet MS" w:hAnsi="Trebuchet MS"/>
          <w:vertAlign w:val="superscript"/>
        </w:rPr>
        <w:footnoteReference w:customMarkFollows="0" w:id="0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</w:r>
    </w:p>
    <w:p w:rsidR="00000000" w:rsidDel="00000000" w:rsidP="00000000" w:rsidRDefault="00000000" w:rsidRPr="00000000" w14:paraId="00000031">
      <w:pPr>
        <w:widowControl w:val="1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Data Journalism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Visualizzare i dati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Monitorare il progetto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Grafica e creatività</w:t>
      </w:r>
    </w:p>
    <w:p w:rsidR="00000000" w:rsidDel="00000000" w:rsidP="00000000" w:rsidRDefault="00000000" w:rsidRPr="00000000" w14:paraId="00000036">
      <w:pPr>
        <w:widowControl w:val="1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Ciascun criterio è articolato in specifici 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item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 cui ciascun membro della Commissione deve assegnare uno specifico punteggio da 0 a 10. Il voto associato al criterio è la media aritmetica dei voti espressi per i singoli 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item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di cui il criterio è composto.</w:t>
      </w:r>
    </w:p>
    <w:p w:rsidR="00000000" w:rsidDel="00000000" w:rsidP="00000000" w:rsidRDefault="00000000" w:rsidRPr="00000000" w14:paraId="00000038">
      <w:pPr>
        <w:widowControl w:val="1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ciascun membro della Commissione vengono assegnati circa 30 team-classe tra i 110 ammessi alla valutazione, attraverso un algoritmo che garantisce per ciascuna ricerca la valutazione di almeno due giurati con competenze diverse.</w:t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Esiti FASE 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conclusione della FASE 1 vengono stilate le classifiche regionali e interregionale dell’indirizzo didattico “ASOC Superiori in lingua italiana”, nonché le due classifiche nazionali degli indirizzi “ASOC Superiori in lingua inglese” e “ASOC Scuole Medie”. Sulla base delle risultanze di questa fase e dei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criteri indicati nel Vademecum di progetto 2023-2024 per l’associazione del numero di finalisti al numero di team partecipanti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vengono individuati 21 team-classi finalisti (14 per “ASOC superiori in italiano”, 4 per “ASOC scuole medie”, 3 per “ASOC superiori in lingua inglese”) che hanno accesso alla FASE 2.</w:t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 graduatorie riportano l’indicazione dei team ammessi alla FASE 2 in base al punteggio ottenuto e al criterio indicato nel Vademecum di progetto 2023-2024 . In particolare: 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 finalista per regioni con 5-10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 finalisti per regioni con 11-20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 finalisti per regioni con 21-30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4 finalisti per regioni con 31-40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5 finalisti per regioni con oltre 40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12 team di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Basilicata,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Friuli-Venezia Giulia, Lazio, Marche, Toscana, Umbria e Veneto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sono accorpati in un unico ambito interregionale, essendo di numero inferiore a 5 per ciascuna regione, come indicato nel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Vademecum di progetto ASOC2324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Sempre in base ai criteri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sopra indicati,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della graduatoria dell’ambito interregionale sono ammessi alla Fase 2 di valutazione numero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2 team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sebbene dei 12 iscritti siano in totale solo 4 i team che hanno consegnato i Report di lezione che consentono la  valutazione.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Commissione di Valutazione, inoltre, avendo riscontrato un’irregolarità nell’output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Report di monitoraggio civico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” del Report 3, ha deciso di escludere dalle graduatorie il team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Marketing Geniuses dell’I.S.I.S. E. Caruso di Napoli,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classe IV C (link al blog 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https://www.ascuoladiopencoesione.it/it/team/23-24-EN_0006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) in quanto il report in questione non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è stato redatto dal team della classe IVC, ma da un altro autore nell'edizione ASOC1819 (</w:t>
      </w:r>
      <w:hyperlink r:id="rId10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https://it.monithon.eu/report/view/845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). Il Team ASOC si impegna ad avvisare il docente referente e ad eliminare il report dal blog del team-classe.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 graduatorie definite dalla Commissione vengono pubblicamente annunciate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alle ore 12.00 del 9 maggio 2024, in occasione della Festa dell’Europa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tramite apposita 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News 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 Video annuncio sul sito ascuoladiopencoesione.it.</w:t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FASE 2 (24 aprile - 7 maggio 2024)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</w:p>
    <w:p w:rsidR="00000000" w:rsidDel="00000000" w:rsidP="00000000" w:rsidRDefault="00000000" w:rsidRPr="00000000" w14:paraId="0000004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Nella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FASE 2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i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21 team finalisti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decretati a conclusione della FASE 1 vengono valutati da ciascun membro della Commissione - composta in questa fase da referenti dei partner istituzionali di progetto - sulla base degli output del R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eport 4 (report finale), ovvero “Pitch” ed “Elaborato creativo finale”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Gli output vengono valutati attraverso 2 criteri di valutazione: </w:t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Soluzioni e Proposte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Raccontare la ricerca</w:t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Ciascun criterio è articolato in specifici 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item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 cui ciascun membro della Commissione deve assegnare uno specifico punteggio. Il voto da 0 a 10 associato al criterio è la media aritmetica dei voti espressi per i singoli 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item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di cui il criterio è composto. </w:t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Esiti FASE 2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chiusura dei lavori della FASE 2 vengono nominate:</w:t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 classi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finaliste dell’indirizzo Scuole Superiori in lingua italiana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che accedono alla terza fase e ultima fase, che corrisponde all’evento finale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ASOC2324 AWARDS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”, durante il quale vengono assegnati i relativi premi in palio;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classe che ha realizzato la migliore ricerca di monitoraggio dell’indirizzo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Scuole Superiori in lingua inglese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che si aggiudica il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Europa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(un viaggio di istruzione presso le istituzioni europee a Bruxelles)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;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classe vincitrice dell’indirizzo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ASOC Scuole Medie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che ha l’opportunità di partecipare ad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attività laboratoriali e formative;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eventuali classi a cui vengono attribuite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menzioni speciali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5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Sessione plenaria FASE 2 (7 maggio 2024)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</w:p>
    <w:p w:rsidR="00000000" w:rsidDel="00000000" w:rsidP="00000000" w:rsidRDefault="00000000" w:rsidRPr="00000000" w14:paraId="0000006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Durante la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sessione plenaria del 7 maggio 2024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si tiene un confronto tra i componenti della Commissione di Valutazione di FASE 2 per la conferma delle graduatorie finali dei diversi indirizzi dell’edizione di ASOC 2023-2024, nonché per la definizione delle Menzioni Speciali, volte a premiare i team-classe che si sono particolarmente distinti in ambiti specifici.</w:t>
      </w:r>
    </w:p>
    <w:p w:rsidR="00000000" w:rsidDel="00000000" w:rsidP="00000000" w:rsidRDefault="00000000" w:rsidRPr="00000000" w14:paraId="00000066">
      <w:pPr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RESOCONTO DELLA RIUNIONE PLENARIA DEL 7 MAGGIO 202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4</w:t>
      </w:r>
    </w:p>
    <w:p w:rsidR="00000000" w:rsidDel="00000000" w:rsidP="00000000" w:rsidRDefault="00000000" w:rsidRPr="00000000" w14:paraId="0000006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Commissione conferma le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graduatorie regionali di ASOC2324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 i relativi primi classificati, individuati a conclusione della Fase 1 di Valutazione, il cui elenco è il seguente: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Abruzzo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  <w:hyperlink r:id="rId12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DestinazioneDoria</w:t>
        </w:r>
      </w:hyperlink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(Istituto Magistrale Liceo “G. Marconi” di Pescara)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Calabria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 </w:t>
      </w:r>
      <w:hyperlink r:id="rId13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IIS CARIATI "LS-IPSC - IPSIA - ITI" (CSIS06800L) - 5D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LS-IPSC - IPSIA - ITI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di Cariati - 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Campania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hyperlink r:id="rId14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SAMNITES_HC_2.0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ITI “G.B.B. Lucarelli” di Benevento)</w:t>
      </w:r>
    </w:p>
    <w:p w:rsidR="00000000" w:rsidDel="00000000" w:rsidP="00000000" w:rsidRDefault="00000000" w:rsidRPr="00000000" w14:paraId="0000006F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Lombardia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hyperlink r:id="rId15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SI_Am(i)biente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(ITCEG “A. Bassi” di Lodi)</w:t>
      </w:r>
    </w:p>
    <w:p w:rsidR="00000000" w:rsidDel="00000000" w:rsidP="00000000" w:rsidRDefault="00000000" w:rsidRPr="00000000" w14:paraId="00000070">
      <w:pPr>
        <w:widowControl w:val="1"/>
        <w:numPr>
          <w:ilvl w:val="0"/>
          <w:numId w:val="5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Molise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</w:t>
      </w:r>
      <w:hyperlink r:id="rId16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EconeTeam-IST.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(Istituto Magistrale Omnicomprensivo “Scarano” di Trivento - CB)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5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Piemonte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hyperlink r:id="rId1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OpenAVO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(IIS “A. Avogadro” di Torino)</w:t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Puglia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hyperlink r:id="rId18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TarasAmare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 (I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TT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 “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A. Pacinotti” di Taranto)</w:t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color w:val="000000"/>
          <w:u w:val="single"/>
          <w:rtl w:val="0"/>
        </w:rPr>
        <w:t xml:space="preserve">Sardegna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 </w:t>
      </w:r>
      <w:hyperlink r:id="rId1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A.M.A.N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(Liceo “E. Fermi” di Nuoro)</w:t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 </w:t>
      </w:r>
      <w:r w:rsidDel="00000000" w:rsidR="00000000" w:rsidRPr="00000000">
        <w:rPr>
          <w:rFonts w:ascii="Trebuchet MS" w:cs="Trebuchet MS" w:eastAsia="Trebuchet MS" w:hAnsi="Trebuchet MS"/>
          <w:color w:val="000000"/>
          <w:u w:val="single"/>
          <w:rtl w:val="0"/>
        </w:rPr>
        <w:t xml:space="preserve">Sicilia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 </w:t>
      </w:r>
      <w:hyperlink r:id="rId20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F.A.R.O</w:t>
        </w:r>
      </w:hyperlink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 (Liceo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“V. Linares” di Licata - AG)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1° classificato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u w:val="single"/>
          <w:rtl w:val="0"/>
        </w:rPr>
        <w:t xml:space="preserve">interregionale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 </w:t>
      </w:r>
      <w:hyperlink r:id="rId22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DUCALDISCOVERY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Liceo “U. Morin” di Venezia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76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Per i primi classificati regionali il premio consiste nell’opportunità di partecipare nel prossimo autunno ai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dialoghi istituzionali online “</w:t>
      </w:r>
      <w:hyperlink r:id="rId23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ASOC Talk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con la partecipazione di referenti istituzionali di alto profilo.</w:t>
      </w:r>
    </w:p>
    <w:p w:rsidR="00000000" w:rsidDel="00000000" w:rsidP="00000000" w:rsidRDefault="00000000" w:rsidRPr="00000000" w14:paraId="0000007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Successivamente, la Commissione si confronta e conferma i punteggi finali della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FASE 2 assegnati ai 14 team-classe finalisti dell’indirizzo “ASOC superiori in italiano”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riportati nella seguente tabella:</w:t>
      </w:r>
    </w:p>
    <w:p w:rsidR="00000000" w:rsidDel="00000000" w:rsidP="00000000" w:rsidRDefault="00000000" w:rsidRPr="00000000" w14:paraId="0000007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65.9999999999997" w:tblpY="0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0"/>
        <w:gridCol w:w="1755"/>
        <w:gridCol w:w="1500"/>
        <w:gridCol w:w="1545"/>
        <w:tblGridChange w:id="0">
          <w:tblGrid>
            <w:gridCol w:w="3510"/>
            <w:gridCol w:w="1755"/>
            <w:gridCol w:w="1500"/>
            <w:gridCol w:w="154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Raccontare la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Soluzioni e proposte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Totale Generale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SAMNITES_HC_2.0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16,38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A.M.A.N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16,09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DestinazioneDoria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15,77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OpenAVO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15,76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 GRANDE BELLEZZA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15,69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DBI - Data Bureau of Investigation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15,63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TarasAmare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15,15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DUCALDISCOVERY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14,75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F.A.R.O.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14,63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EconeTeam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13,78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Egadi Green 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13,62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IIS CARIATI "LS-IPSC - IPSIA - ITI" (CSIS06800L) - 5D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13,18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worko</w:t>
            </w:r>
            <w:r w:rsidDel="00000000" w:rsidR="00000000" w:rsidRPr="00000000">
              <w:rPr>
                <w:rFonts w:ascii="Trebuchet MS" w:cs="Trebuchet MS" w:eastAsia="Trebuchet MS" w:hAnsi="Trebuchet MS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12,65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ALISSxFUTURE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12,41</w:t>
            </w:r>
          </w:p>
        </w:tc>
      </w:tr>
    </w:tbl>
    <w:p w:rsidR="00000000" w:rsidDel="00000000" w:rsidP="00000000" w:rsidRDefault="00000000" w:rsidRPr="00000000" w14:paraId="000000BA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 primi 4 team della graduatoria risultano pertanto essere i seguenti:</w:t>
      </w:r>
    </w:p>
    <w:p w:rsidR="00000000" w:rsidDel="00000000" w:rsidP="00000000" w:rsidRDefault="00000000" w:rsidRPr="00000000" w14:paraId="000000C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ind w:left="0" w:firstLine="0"/>
        <w:rPr>
          <w:rFonts w:ascii="Trebuchet MS" w:cs="Trebuchet MS" w:eastAsia="Trebuchet MS" w:hAnsi="Trebuchet MS"/>
        </w:rPr>
      </w:pPr>
      <w:hyperlink r:id="rId24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SAMNITES_HC_2.0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(ITI “G.B.B. Lucarelli di Benevento)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ind w:left="0" w:firstLine="0"/>
        <w:rPr>
          <w:rFonts w:ascii="Trebuchet MS" w:cs="Trebuchet MS" w:eastAsia="Trebuchet MS" w:hAnsi="Trebuchet MS"/>
        </w:rPr>
      </w:pPr>
      <w:hyperlink r:id="rId25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A.M.A.N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(Liceo “E. Fermi” di Nuoro)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ind w:left="0" w:firstLine="0"/>
        <w:rPr>
          <w:rFonts w:ascii="Trebuchet MS" w:cs="Trebuchet MS" w:eastAsia="Trebuchet MS" w:hAnsi="Trebuchet MS"/>
        </w:rPr>
      </w:pPr>
      <w:hyperlink r:id="rId26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DestinazioneDoria</w:t>
        </w:r>
      </w:hyperlink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(Liceo “G. Marconi” di Pescara)</w:t>
      </w:r>
    </w:p>
    <w:p w:rsidR="00000000" w:rsidDel="00000000" w:rsidP="00000000" w:rsidRDefault="00000000" w:rsidRPr="00000000" w14:paraId="000000C9">
      <w:pPr>
        <w:widowControl w:val="1"/>
        <w:ind w:left="0" w:firstLine="0"/>
        <w:rPr>
          <w:rFonts w:ascii="Trebuchet MS" w:cs="Trebuchet MS" w:eastAsia="Trebuchet MS" w:hAnsi="Trebuchet MS"/>
        </w:rPr>
      </w:pPr>
      <w:hyperlink r:id="rId2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OpenAVO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(IIS “A. Avogadro” di Torino)</w:t>
      </w:r>
    </w:p>
    <w:p w:rsidR="00000000" w:rsidDel="00000000" w:rsidP="00000000" w:rsidRDefault="00000000" w:rsidRPr="00000000" w14:paraId="000000CA">
      <w:pPr>
        <w:tabs>
          <w:tab w:val="left" w:leader="none" w:pos="3156"/>
        </w:tabs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Tali team sono pertanto invitati a presentare la propria ricerca di monitoraggio civico nell’ambito dell’Evento Finale di premiazione “ASOC2324 AWARDS” del 21 maggio 2024, durante il quale vengono assegnati i 4 premi tematici:</w:t>
      </w:r>
    </w:p>
    <w:p w:rsidR="00000000" w:rsidDel="00000000" w:rsidP="00000000" w:rsidRDefault="00000000" w:rsidRPr="00000000" w14:paraId="000000C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PREMIO SENATO DELLA REPUBBLICA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: una visita guidata nella sede istituzionale del Senato della Repubblica a Roma,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incontrando Senatori e funzionari con cui confrontarsi sui temi della ricerca di monitoraggio civico svolta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, grazie a uno specifico accordo con gli Uffici del Senato della Repubblica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che si terrà a giugno 2024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C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ASOC PLAY -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ESPERIENZA EUROPA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isita in presenza 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gioco di ruolo interattivo che simula le attività del Parlamento europeo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 presso Esperienza Europa David Sassoli a Roma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che si terrà a giugno 2024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ASOC PLAY - ANSA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, partecipazione a una riunione di redazione online dell’agenzia di stampa ANSA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che si terrà nell’autunno 2024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CF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ASOC PLAY - CONOSCI L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’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EUROPA,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visita prioritaria virtuale presso le Istituzioni europee, organizzata in collaborazione con la Rappresentanza in Italia della Commissione europea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che si terrà nell’autunno 2024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Commissione decreta inoltre il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1° classificato della graduatoria dei team che hanno partecipato al percorso didattico “ASOC superiori in lingua inglese”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che risulta essere </w:t>
      </w:r>
      <w:r w:rsidDel="00000000" w:rsidR="00000000" w:rsidRPr="00000000">
        <w:rPr>
          <w:rFonts w:ascii="Trebuchet MS" w:cs="Trebuchet MS" w:eastAsia="Trebuchet MS" w:hAnsi="Trebuchet MS"/>
          <w:b w:val="1"/>
          <w:color w:val="1155cc"/>
          <w:u w:val="single"/>
          <w:rtl w:val="0"/>
        </w:rPr>
        <w:t xml:space="preserve">SMOKING GLASSES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dell’IIS G. DE GRUTTOLA" di Ariano Irpino (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AV)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Al team viene così assegnato il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Europa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che consiste in una visita prioritaria presso le istituzioni europee a Bruxelles,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organizzata dal Dipartimento per le Politiche di Coesione e per il Sud della Presidenza del Consiglio dei Ministri in collaborazione con la Commissione europea, che avrà luogo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nell’autunno del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Mentre ai team finalisti </w:t>
      </w:r>
      <w:hyperlink r:id="rId28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SeawaveEnergyAlgue</w:t>
        </w:r>
      </w:hyperlink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del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Liceo Scientifico “E. Fermi” di Alghero (SS)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 </w:t>
      </w:r>
      <w:hyperlink r:id="rId30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WISES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del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Liceo Scientifico “Archimede” di Acireale (CT)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viene assegnata la partecipazione a specifiche sessioni dei dialoghi istituzionali online con il Senato della Repubblica “ASOC Talk”, che si terranno nell’autunno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ind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Commissione decreta anche il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1° classificato della graduatoria dei team che hanno partecipato al percorso didattico “ASOC scuole medie”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che risulta essere </w:t>
      </w:r>
      <w:hyperlink r:id="rId31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Move to the Future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dell’I.C. “G. Lombardo Radice” di Siracusa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Il team avrà l’opportunità di partecipare ad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attività laboratoriali e formative organizzate dal Ministero dell’Istruzione e del Merito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che si terranno nel corso del prossimo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anno scolastico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</w:p>
    <w:p w:rsidR="00000000" w:rsidDel="00000000" w:rsidP="00000000" w:rsidRDefault="00000000" w:rsidRPr="00000000" w14:paraId="000000D6">
      <w:pPr>
        <w:widowControl w:val="1"/>
        <w:ind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ind w:hanging="2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Mentre ai team finalisti </w:t>
      </w:r>
      <w:hyperlink r:id="rId32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Ajo' in Pista AGGIUS 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dell’I.C.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Aggius” di Aggius (SS), </w:t>
      </w:r>
      <w:hyperlink r:id="rId33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Arco Green Team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dell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 scuola di I° “Manzoni” di Arconate (MI) e </w:t>
      </w:r>
      <w:hyperlink r:id="rId34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Con Ri-Guardo a Revello</w:t>
        </w:r>
      </w:hyperlink>
      <w:r w:rsidDel="00000000" w:rsidR="00000000" w:rsidRPr="00000000">
        <w:rPr>
          <w:rtl w:val="0"/>
        </w:rPr>
        <w:t xml:space="preserve"> </w:t>
      </w:r>
      <w:hyperlink r:id="rId35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dell’I.C.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Revello” di Revello (CN)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viene assegnata la partecipazione a specifiche sessioni dei dialoghi istituzionali online con il Senato della Repubblica “ASOC Talk”, che si terranno nell’autunno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Vengono successivamente assegnate le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Menzioni Speciali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 team che si sono particolarmente distinti in ambiti specifici. Si tratta in particolare delle seguenti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5 Menzioni Speciali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</w:r>
    </w:p>
    <w:p w:rsidR="00000000" w:rsidDel="00000000" w:rsidP="00000000" w:rsidRDefault="00000000" w:rsidRPr="00000000" w14:paraId="000000DA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STATISTICA IN LINGUA INGLESE: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Team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hyperlink r:id="rId36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Schools Home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- Liceo “M. Fanti” di Carpi (MO), per la padronanza della lingua inglese nella redazione degli output dei Report di 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VIDEOMAKING: 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Team </w:t>
      </w:r>
      <w:hyperlink r:id="rId37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Artigiani dello spirito</w:t>
        </w:r>
      </w:hyperlink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IC “San Cesareo” di Lecce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per la qualità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 e l’efficacia del montaggio video (video del monitoraggio civico e video finale)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COMUNICAZIONE</w:t>
      </w: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Team </w:t>
      </w:r>
      <w:hyperlink r:id="rId38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Obiettivo Zero</w:t>
        </w:r>
      </w:hyperlink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Liceo “N. Cortese” di Maddaloni (CE), per l’attenzione e la grande capacità di affrontare e divulgare il tema della violenza sulle donne, in stretta aderenza con l’attualità, attraverso interviste e canali social</w:t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ORIGINALITÀ ELABORATO CREATIVO: 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Team </w:t>
      </w:r>
      <w:hyperlink r:id="rId39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DBI - Data Bureau of Investigation</w:t>
        </w:r>
      </w:hyperlink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 - ITI “F. Giordani” di Caserta, p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er l’originalità e l’abilità nella progettazione dell’elaborato creativo finale, realizzato attraverso l’espediente del videogioco </w:t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PREMIO COINVOLGIMENTO DELLA COMUNITÀ: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Team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hyperlink r:id="rId40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Con Ri-Guardo a Revello</w:t>
        </w:r>
      </w:hyperlink>
      <w:r w:rsidDel="00000000" w:rsidR="00000000" w:rsidRPr="00000000">
        <w:rPr>
          <w:rtl w:val="0"/>
        </w:rPr>
        <w:t xml:space="preserve"> </w:t>
      </w:r>
      <w:hyperlink r:id="rId41">
        <w:r w:rsidDel="00000000" w:rsidR="00000000" w:rsidRPr="00000000">
          <w:rPr>
            <w:rFonts w:ascii="Lato" w:cs="Lato" w:eastAsia="Lato" w:hAnsi="Lato"/>
            <w:b w:val="1"/>
            <w:color w:val="1155cc"/>
            <w:sz w:val="23"/>
            <w:szCs w:val="23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dell’I.C. “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Revello” di Revello (CN)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per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l’attenzione e la sensibilità rispetto all’impatto del progetto sul benessere della cittadinanza</w:t>
      </w:r>
    </w:p>
    <w:p w:rsidR="00000000" w:rsidDel="00000000" w:rsidP="00000000" w:rsidRDefault="00000000" w:rsidRPr="00000000" w14:paraId="000000E0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Per 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5 team a cui vengono attribuite le Menzioni speciali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così come per i primi classificati regionali e interregionali, il premio consiste nella partecipazione ai dialoghi istituzionali online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ASOC Talk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”, che si terranno nel prossimo autunno.</w:t>
      </w:r>
    </w:p>
    <w:p w:rsidR="00000000" w:rsidDel="00000000" w:rsidP="00000000" w:rsidRDefault="00000000" w:rsidRPr="00000000" w14:paraId="000000E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Infine la Commissione di valutazione condivide di assegnare premialità anche alle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Reti territoriali della Community di ASOC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(associazioni e organizzazioni “Amici di ASOC”, Centri Europe Direct/Centri di Documentazione europea, referenti degli Uffici territoriali Istat) che con impegn</w:t>
      </w: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o e dedizione hanno supportato i team finalisti degli indirizzi “ASOC superiori in lingua italiana”, il team vincitore dell’indirizzo “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ASOC superiori in lingua inglese” e </w:t>
      </w: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il team vincitore dell’indirizzo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ASOC scuole medie”. Ai referenti delle reti territoriali sotto riportate viene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offerta la possibilità di partecipare a una visita guidata nella sede istituzionale del Senato della Repubblica a Roma che avrà luogo a giugno 2024, organizzato in collaborazione con gli Uffici del Senato della Repubblica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</w:r>
    </w:p>
    <w:p w:rsidR="00000000" w:rsidDel="00000000" w:rsidP="00000000" w:rsidRDefault="00000000" w:rsidRPr="00000000" w14:paraId="000000E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Europe Direct Caserta;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REF - Ufficio Territoriale AREA SUD - Napoli;</w:t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Europe Direct Comune di Nuoro;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Europe Direct Chieti;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Ufficio territoriale Istat Abruzzo;</w:t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Europe Direct Torino;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Sede territoriale Istat Piemonte;</w:t>
      </w:r>
    </w:p>
    <w:p w:rsidR="00000000" w:rsidDel="00000000" w:rsidP="00000000" w:rsidRDefault="00000000" w:rsidRPr="00000000" w14:paraId="000000EC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KIWANIS;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Ufficio territoriale Istat - Sicilia;</w:t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Europe Direct Salerno;</w:t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CDE Università di Salerno;</w:t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Fondazione Rachelina Ambrosini.</w:t>
      </w:r>
    </w:p>
    <w:p w:rsidR="00000000" w:rsidDel="00000000" w:rsidP="00000000" w:rsidRDefault="00000000" w:rsidRPr="00000000" w14:paraId="000000F1">
      <w:pPr>
        <w:ind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spacing w:before="240" w:lineRule="auto"/>
        <w:ind w:firstLine="709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terza fase di Valutazione è coincisa con l’evento finale, gli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ASOC2324 AWARDS, organizzato in forma ibrida il 21 maggio 2024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I team finalisti del percorso Scuole Superiori in lingua italiana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sono stati associati ai diversi premi in base alle caratteristiche delle ricerche di monitoraggio civico realizzate da una giuria composta dai referenti delle organizzazioni che hanno messo a disposizione i premi stessi (iniziativa OpenCoesione, partner del progetto ASOC e altre realtà e organizzazioni che vi collaborano).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Al termine dell’evento, sono stati assegnati i premi secondo gli seguito gli abbinamenti stabiliti:</w:t>
      </w:r>
    </w:p>
    <w:p w:rsidR="00000000" w:rsidDel="00000000" w:rsidP="00000000" w:rsidRDefault="00000000" w:rsidRPr="00000000" w14:paraId="000000F3">
      <w:pPr>
        <w:widowControl w:val="1"/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SAMNITES_HC_2.0 (ITI “G.B.B. Lucarelli di Benevento) - ASOC PLAY - ANSA</w:t>
      </w:r>
    </w:p>
    <w:p w:rsidR="00000000" w:rsidDel="00000000" w:rsidP="00000000" w:rsidRDefault="00000000" w:rsidRPr="00000000" w14:paraId="000000F4">
      <w:pPr>
        <w:widowControl w:val="1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A.M.A.N (Liceo “E. Fermi” di Nuoro) - ASOC PLAY - CONOSCI L’EUROPA</w:t>
      </w:r>
    </w:p>
    <w:p w:rsidR="00000000" w:rsidDel="00000000" w:rsidP="00000000" w:rsidRDefault="00000000" w:rsidRPr="00000000" w14:paraId="000000F5">
      <w:pPr>
        <w:widowControl w:val="1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DestinazioneDoria (Liceo “G. Marconi” di Pescara) - ASOC PLAY - ESPERIENZA EUROPA</w:t>
      </w:r>
    </w:p>
    <w:p w:rsidR="00000000" w:rsidDel="00000000" w:rsidP="00000000" w:rsidRDefault="00000000" w:rsidRPr="00000000" w14:paraId="000000F6">
      <w:pPr>
        <w:widowControl w:val="1"/>
        <w:numPr>
          <w:ilvl w:val="0"/>
          <w:numId w:val="6"/>
        </w:numPr>
        <w:spacing w:before="0" w:beforeAutospacing="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OpenAVO (IIS “A. Avogadro” di Torino) - PREMIO SENATO DELLA REPUBBLICA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spacing w:before="240" w:lineRule="auto"/>
        <w:ind w:firstLine="709"/>
        <w:jc w:val="both"/>
        <w:rPr>
          <w:rFonts w:ascii="Trebuchet MS" w:cs="Trebuchet MS" w:eastAsia="Trebuchet MS" w:hAnsi="Trebuchet MS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42" w:type="default"/>
      <w:headerReference r:id="rId43" w:type="first"/>
      <w:headerReference r:id="rId44" w:type="even"/>
      <w:footerReference r:id="rId45" w:type="default"/>
      <w:footerReference r:id="rId46" w:type="first"/>
      <w:footerReference r:id="rId47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 team che hanno realizzato la ricerca di monitoraggio in lingua inglese vengono valutati con gli stessi criteri e item dei team che hanno svolto il percorso ASOC in italiano </w:t>
      </w:r>
      <w:r w:rsidDel="00000000" w:rsidR="00000000" w:rsidRPr="00000000">
        <w:rPr>
          <w:sz w:val="20"/>
          <w:szCs w:val="20"/>
          <w:rtl w:val="0"/>
        </w:rPr>
        <w:t xml:space="preserve">(superiori e medie).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F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Poiché il team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 SI_Am(i)biente</w:t>
        </w:r>
      </w:hyperlink>
      <w:r w:rsidDel="00000000" w:rsidR="00000000" w:rsidRPr="00000000">
        <w:rPr>
          <w:sz w:val="20"/>
          <w:szCs w:val="20"/>
          <w:rtl w:val="0"/>
        </w:rPr>
        <w:t xml:space="preserve">, 1° classificato della regione Lombardia, non ha consegnato il Report 4 entro la data del 24 aprile 2024 fissata come scadenza, subentra al suo posto nella Fase 2 di valutazione il team 2° classificato nella medesima graduatoria, ovvero il team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Worko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rFonts w:ascii="Trebuchet MS" w:cs="Trebuchet MS" w:eastAsia="Trebuchet MS" w:hAnsi="Trebuchet M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bidi="hi-IN" w:eastAsia="hi-I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Open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Calibri" w:cs="Calibri" w:eastAsia="SimSun" w:hAnsi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unti" w:customStyle="1">
    <w:name w:val="Punti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ListLabel2" w:customStyle="1">
    <w:name w:val="ListLabel 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Testonotaapidipagina">
    <w:name w:val="footnote text"/>
    <w:basedOn w:val="Normale"/>
    <w:qFormat w:val="1"/>
    <w:rPr>
      <w:sz w:val="20"/>
      <w:szCs w:val="18"/>
    </w:rPr>
  </w:style>
  <w:style w:type="character" w:styleId="TestonotaapidipaginaCarattere" w:customStyle="1">
    <w:name w:val="Testo nota a piè di pagina Carattere"/>
    <w:rPr>
      <w:w w:val="100"/>
      <w:kern w:val="1"/>
      <w:position w:val="-1"/>
      <w:szCs w:val="18"/>
      <w:effect w:val="none"/>
      <w:vertAlign w:val="baseline"/>
      <w:cs w:val="0"/>
      <w:em w:val="none"/>
      <w:lang w:bidi="hi-IN" w:eastAsia="hi-IN"/>
    </w:rPr>
  </w:style>
  <w:style w:type="character" w:styleId="Rimandonotaapidipagina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Mangal" w:eastAsia="SimSun" w:hAnsi="Segoe UI"/>
      <w:sz w:val="18"/>
      <w:szCs w:val="16"/>
    </w:rPr>
  </w:style>
  <w:style w:type="character" w:styleId="TestofumettoCarattere" w:customStyle="1">
    <w:name w:val="Testo fumetto Carattere"/>
    <w:rPr>
      <w:rFonts w:ascii="Segoe UI" w:cs="Mangal" w:eastAsia="SimSun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hi-IN"/>
    </w:rPr>
  </w:style>
  <w:style w:type="paragraph" w:styleId="Intestazione">
    <w:name w:val="header"/>
    <w:basedOn w:val="Normale"/>
    <w:qFormat w:val="1"/>
    <w:pPr>
      <w:tabs>
        <w:tab w:val="center" w:pos="4819"/>
        <w:tab w:val="right" w:pos="9638"/>
      </w:tabs>
    </w:pPr>
    <w:rPr>
      <w:szCs w:val="21"/>
    </w:rPr>
  </w:style>
  <w:style w:type="character" w:styleId="IntestazioneCarattere" w:customStyle="1">
    <w:name w:val="Intestazione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Pidipagina">
    <w:name w:val="footer"/>
    <w:basedOn w:val="Normale"/>
    <w:qFormat w:val="1"/>
    <w:pPr>
      <w:tabs>
        <w:tab w:val="center" w:pos="4819"/>
        <w:tab w:val="right" w:pos="9638"/>
      </w:tabs>
    </w:pPr>
    <w:rPr>
      <w:szCs w:val="21"/>
    </w:rPr>
  </w:style>
  <w:style w:type="character" w:styleId="PidipaginaCarattere" w:customStyle="1">
    <w:name w:val="Piè di pagina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Revisione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szCs w:val="21"/>
      <w:lang w:bidi="hi-IN" w:eastAsia="hi-IN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 w:val="1"/>
    <w:rsid w:val="00494C72"/>
    <w:pPr>
      <w:ind w:left="720"/>
      <w:contextualSpacing w:val="1"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B2B1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ascuoladiopencoesione.it/it/team/23-24-MEDIE_0029" TargetMode="External"/><Relationship Id="rId20" Type="http://schemas.openxmlformats.org/officeDocument/2006/relationships/hyperlink" Target="https://www.ascuoladiopencoesione.it/it/team/23-24-SUP_0013" TargetMode="External"/><Relationship Id="rId42" Type="http://schemas.openxmlformats.org/officeDocument/2006/relationships/header" Target="header2.xml"/><Relationship Id="rId41" Type="http://schemas.openxmlformats.org/officeDocument/2006/relationships/hyperlink" Target="https://www.ascuoladiopencoesione.it/it/team/23-24-MEDIE_0019" TargetMode="External"/><Relationship Id="rId22" Type="http://schemas.openxmlformats.org/officeDocument/2006/relationships/hyperlink" Target="https://www.ascuoladiopencoesione.it/it/team/23-24-SUP_0072" TargetMode="External"/><Relationship Id="rId44" Type="http://schemas.openxmlformats.org/officeDocument/2006/relationships/header" Target="header3.xml"/><Relationship Id="rId21" Type="http://schemas.openxmlformats.org/officeDocument/2006/relationships/hyperlink" Target="https://www.ascuoladiopencoesione.it/it/team/23-24-SUP_0013" TargetMode="External"/><Relationship Id="rId43" Type="http://schemas.openxmlformats.org/officeDocument/2006/relationships/header" Target="header1.xml"/><Relationship Id="rId24" Type="http://schemas.openxmlformats.org/officeDocument/2006/relationships/hyperlink" Target="https://www.ascuoladiopencoesione.it/it/team/23-24-SUP_0036" TargetMode="External"/><Relationship Id="rId46" Type="http://schemas.openxmlformats.org/officeDocument/2006/relationships/footer" Target="footer3.xml"/><Relationship Id="rId23" Type="http://schemas.openxmlformats.org/officeDocument/2006/relationships/hyperlink" Target="https://www.ascuoladiopencoesione.it/it/Asoc-Talk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scuoladiopencoesione.it/it/team/23-24-EN_0006" TargetMode="External"/><Relationship Id="rId26" Type="http://schemas.openxmlformats.org/officeDocument/2006/relationships/hyperlink" Target="https://www.ascuoladiopencoesione.it/it/team/23-24-SUP_0075" TargetMode="External"/><Relationship Id="rId25" Type="http://schemas.openxmlformats.org/officeDocument/2006/relationships/hyperlink" Target="https://www.ascuoladiopencoesione.it/it/team/23-24-SUP_0043" TargetMode="External"/><Relationship Id="rId47" Type="http://schemas.openxmlformats.org/officeDocument/2006/relationships/footer" Target="footer2.xml"/><Relationship Id="rId28" Type="http://schemas.openxmlformats.org/officeDocument/2006/relationships/hyperlink" Target="https://www.ascuoladiopencoesione.it/it/team/23-24-EN_0001" TargetMode="External"/><Relationship Id="rId27" Type="http://schemas.openxmlformats.org/officeDocument/2006/relationships/hyperlink" Target="https://www.ascuoladiopencoesione.it/it/team/23-24-SUP_0026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www.ascuoladiopencoesione.it/it/team/23-24-EN_0001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www.ascuoladiopencoesione.it/sites/default/files/asoc_files/2324/file/ALL_A_Vademecum_Progetto_ASOC2324.pdf" TargetMode="External"/><Relationship Id="rId31" Type="http://schemas.openxmlformats.org/officeDocument/2006/relationships/hyperlink" Target="https://www.ascuoladiopencoesione.it/it/team/23-24-MEDIE_0008" TargetMode="External"/><Relationship Id="rId30" Type="http://schemas.openxmlformats.org/officeDocument/2006/relationships/hyperlink" Target="https://www.ascuoladiopencoesione.it/it/team/23-24-EN_0025" TargetMode="External"/><Relationship Id="rId11" Type="http://schemas.openxmlformats.org/officeDocument/2006/relationships/hyperlink" Target="https://www.ascuoladiopencoesione.it/it/Online-le-classifiche-di-ASOC2324" TargetMode="External"/><Relationship Id="rId33" Type="http://schemas.openxmlformats.org/officeDocument/2006/relationships/hyperlink" Target="https://www.ascuoladiopencoesione.it/it/team/23-24-MEDIE_0009" TargetMode="External"/><Relationship Id="rId10" Type="http://schemas.openxmlformats.org/officeDocument/2006/relationships/hyperlink" Target="https://it.monithon.eu/report/view/845" TargetMode="External"/><Relationship Id="rId32" Type="http://schemas.openxmlformats.org/officeDocument/2006/relationships/hyperlink" Target="https://www.ascuoladiopencoesione.it/it/team/23-24-MEDIE_0019" TargetMode="External"/><Relationship Id="rId13" Type="http://schemas.openxmlformats.org/officeDocument/2006/relationships/hyperlink" Target="https://www.ascuoladiopencoesione.it/it/team/23-24-SUP_0050" TargetMode="External"/><Relationship Id="rId35" Type="http://schemas.openxmlformats.org/officeDocument/2006/relationships/hyperlink" Target="https://www.ascuoladiopencoesione.it/it/team/23-24-MEDIE_0019" TargetMode="External"/><Relationship Id="rId12" Type="http://schemas.openxmlformats.org/officeDocument/2006/relationships/hyperlink" Target="https://www.ascuoladiopencoesione.it/it/team/23-24-SUP_0075" TargetMode="External"/><Relationship Id="rId34" Type="http://schemas.openxmlformats.org/officeDocument/2006/relationships/hyperlink" Target="https://www.ascuoladiopencoesione.it/it/team/23-24-MEDIE_0029" TargetMode="External"/><Relationship Id="rId15" Type="http://schemas.openxmlformats.org/officeDocument/2006/relationships/hyperlink" Target="https://www.ascuoladiopencoesione.it/it/team/23-24-SUP_0027" TargetMode="External"/><Relationship Id="rId37" Type="http://schemas.openxmlformats.org/officeDocument/2006/relationships/hyperlink" Target="https://www.ascuoladiopencoesione.it/it/team/23-24-medie_0017" TargetMode="External"/><Relationship Id="rId14" Type="http://schemas.openxmlformats.org/officeDocument/2006/relationships/hyperlink" Target="https://www.ascuoladiopencoesione.it/it/team/23-24-SUP_0036" TargetMode="External"/><Relationship Id="rId36" Type="http://schemas.openxmlformats.org/officeDocument/2006/relationships/hyperlink" Target="https://www.ascuoladiopencoesione.it/it/team/23-24-EN_0019" TargetMode="External"/><Relationship Id="rId17" Type="http://schemas.openxmlformats.org/officeDocument/2006/relationships/hyperlink" Target="https://www.ascuoladiopencoesione.it/it/team/23-24-SUP_0026" TargetMode="External"/><Relationship Id="rId39" Type="http://schemas.openxmlformats.org/officeDocument/2006/relationships/hyperlink" Target="https://www.ascuoladiopencoesione.it/it/team/23-24-SUP_0049" TargetMode="External"/><Relationship Id="rId16" Type="http://schemas.openxmlformats.org/officeDocument/2006/relationships/hyperlink" Target="https://www.ascuoladiopencoesione.it/it/team/23-24-SUP_0068" TargetMode="External"/><Relationship Id="rId38" Type="http://schemas.openxmlformats.org/officeDocument/2006/relationships/hyperlink" Target="https://www.ascuoladiopencoesione.it/it/team/23-24-sup_0042" TargetMode="External"/><Relationship Id="rId19" Type="http://schemas.openxmlformats.org/officeDocument/2006/relationships/hyperlink" Target="https://www.ascuoladiopencoesione.it/it/team/23-24-SUP_0043" TargetMode="External"/><Relationship Id="rId18" Type="http://schemas.openxmlformats.org/officeDocument/2006/relationships/hyperlink" Target="https://www.ascuoladiopencoesione.it/it/team/23-24-SUP_008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ascuoladiopencoesione.it/it/team/23-24-SUP_0027" TargetMode="External"/><Relationship Id="rId2" Type="http://schemas.openxmlformats.org/officeDocument/2006/relationships/hyperlink" Target="https://www.ascuoladiopencoesione.it/it/team/23-24-SUP_0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dnCTiByJEMaLd9XqjHxDmlhLg==">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2023-06-10T15:21:00Z</dcterms:created>
  <dc:creator>Ilaria  Di Leva</dc:creator>
</cp:coreProperties>
</file>